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Pr="00E75A73" w:rsidRDefault="00E75A73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EC06BB" w:rsidRPr="00E75A73" w:rsidRDefault="00EC06BB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F04070" w:rsidRDefault="00F93E10" w:rsidP="00F93E10">
      <w:pPr>
        <w:pStyle w:val="Style1"/>
        <w:widowControl/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</w:t>
      </w:r>
      <w:r w:rsidR="000F14C9">
        <w:rPr>
          <w:sz w:val="20"/>
          <w:szCs w:val="20"/>
        </w:rPr>
        <w:t xml:space="preserve">                                    </w:t>
      </w:r>
    </w:p>
    <w:p w:rsidR="00EC06BB" w:rsidRPr="00F04070" w:rsidRDefault="001A54AC" w:rsidP="00F04070">
      <w:pPr>
        <w:pStyle w:val="Style1"/>
        <w:widowControl/>
        <w:jc w:val="center"/>
        <w:rPr>
          <w:rStyle w:val="FontStyle11"/>
        </w:rPr>
      </w:pPr>
      <w:r w:rsidRPr="00F04070">
        <w:rPr>
          <w:rStyle w:val="FontStyle11"/>
          <w:sz w:val="36"/>
          <w:szCs w:val="36"/>
        </w:rPr>
        <w:t>Решение</w:t>
      </w:r>
    </w:p>
    <w:p w:rsidR="00BC76E5" w:rsidRDefault="00A41CA4" w:rsidP="00BC76E5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</w:rPr>
      </w:pPr>
      <w:r>
        <w:rPr>
          <w:rStyle w:val="FontStyle11"/>
        </w:rPr>
        <w:t xml:space="preserve"> От 27.11.2019 года  </w:t>
      </w:r>
      <w:r w:rsidR="00BC76E5">
        <w:rPr>
          <w:rStyle w:val="FontStyle11"/>
        </w:rPr>
        <w:t xml:space="preserve"> </w:t>
      </w:r>
      <w:r w:rsidR="001A54AC">
        <w:rPr>
          <w:rStyle w:val="FontStyle11"/>
        </w:rPr>
        <w:t>№</w:t>
      </w:r>
      <w:r w:rsidR="00BC76E5">
        <w:rPr>
          <w:rStyle w:val="FontStyle11"/>
        </w:rPr>
        <w:t xml:space="preserve"> 21</w:t>
      </w:r>
    </w:p>
    <w:p w:rsidR="00355405" w:rsidRDefault="00355405" w:rsidP="00BC76E5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</w:p>
    <w:p w:rsidR="00355405" w:rsidRDefault="00355405" w:rsidP="00355405">
      <w:pPr>
        <w:rPr>
          <w:sz w:val="28"/>
          <w:szCs w:val="28"/>
        </w:rPr>
      </w:pPr>
      <w:r>
        <w:rPr>
          <w:sz w:val="28"/>
          <w:szCs w:val="28"/>
        </w:rPr>
        <w:t xml:space="preserve">Торковичского сельского поселения </w:t>
      </w:r>
    </w:p>
    <w:p w:rsidR="00355405" w:rsidRDefault="00355405" w:rsidP="00355405">
      <w:pPr>
        <w:rPr>
          <w:sz w:val="28"/>
          <w:szCs w:val="28"/>
        </w:rPr>
      </w:pPr>
      <w:r>
        <w:rPr>
          <w:sz w:val="28"/>
          <w:szCs w:val="28"/>
        </w:rPr>
        <w:t>налога на имущество физических лиц</w:t>
      </w:r>
    </w:p>
    <w:p w:rsidR="007E0F8F" w:rsidRDefault="007E0F8F" w:rsidP="00355405">
      <w:pPr>
        <w:rPr>
          <w:sz w:val="28"/>
          <w:szCs w:val="28"/>
        </w:rPr>
      </w:pPr>
    </w:p>
    <w:p w:rsidR="007E0F8F" w:rsidRPr="00C02E09" w:rsidRDefault="007E0F8F" w:rsidP="007E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C1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C1E85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части второй Налогового кодекса Российской Федерации, </w:t>
      </w:r>
      <w:hyperlink r:id="rId10" w:history="1">
        <w:r w:rsidRPr="00BC1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1E85">
        <w:rPr>
          <w:rFonts w:ascii="Times New Roman" w:hAnsi="Times New Roman" w:cs="Times New Roman"/>
          <w:sz w:val="28"/>
          <w:szCs w:val="28"/>
        </w:rPr>
        <w:t xml:space="preserve"> Ле</w:t>
      </w:r>
      <w:r w:rsidRPr="00C02E09">
        <w:rPr>
          <w:rFonts w:ascii="Times New Roman" w:hAnsi="Times New Roman" w:cs="Times New Roman"/>
          <w:sz w:val="28"/>
          <w:szCs w:val="28"/>
        </w:rPr>
        <w:t>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</w:t>
      </w:r>
      <w:r w:rsidRPr="00C02E0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C02E09">
        <w:rPr>
          <w:rFonts w:ascii="Times New Roman" w:hAnsi="Times New Roman" w:cs="Times New Roman"/>
          <w:sz w:val="28"/>
          <w:szCs w:val="28"/>
        </w:rPr>
        <w:t>решил:</w:t>
      </w:r>
    </w:p>
    <w:p w:rsidR="007E0F8F" w:rsidRPr="00C02E09" w:rsidRDefault="007E0F8F" w:rsidP="007E0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F8F" w:rsidRPr="00C02E09" w:rsidRDefault="007E0F8F" w:rsidP="007E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Торковичское сельское поселение </w:t>
      </w:r>
      <w:r w:rsidRPr="00C02E09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7E0F8F" w:rsidRPr="00C02E09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2. 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Торковичское сельское поселение </w:t>
      </w:r>
      <w:r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:rsidR="007E0F8F" w:rsidRPr="00C02E09" w:rsidRDefault="007E0F8F" w:rsidP="007E0F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незавершенного строительства в случае, если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</w:t>
            </w:r>
            <w:r w:rsidR="001B2C22">
              <w:rPr>
                <w:rFonts w:ascii="Times New Roman" w:hAnsi="Times New Roman" w:cs="Times New Roman"/>
                <w:sz w:val="28"/>
                <w:szCs w:val="28"/>
              </w:rPr>
              <w:t xml:space="preserve">ельных участках,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для вед</w:t>
            </w:r>
            <w:r w:rsidR="001B2C22">
              <w:rPr>
                <w:rFonts w:ascii="Times New Roman" w:hAnsi="Times New Roman" w:cs="Times New Roman"/>
                <w:sz w:val="28"/>
                <w:szCs w:val="28"/>
              </w:rPr>
              <w:t xml:space="preserve">ения личного подсобного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</w:t>
            </w:r>
            <w:r w:rsidRPr="00BC1E8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11" w:history="1">
              <w:r w:rsidRPr="00BC1E85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BC1E8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12" w:history="1">
              <w:r w:rsidRPr="00BC1E85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BC1E8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E0F8F" w:rsidRPr="00C02E09" w:rsidTr="004950E1">
        <w:tc>
          <w:tcPr>
            <w:tcW w:w="7143" w:type="dxa"/>
          </w:tcPr>
          <w:p w:rsidR="007E0F8F" w:rsidRPr="00C02E09" w:rsidRDefault="007E0F8F" w:rsidP="004950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7E0F8F" w:rsidRPr="00C02E09" w:rsidRDefault="007E0F8F" w:rsidP="004950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</w:tbl>
    <w:p w:rsidR="007E0F8F" w:rsidRPr="00C02E09" w:rsidRDefault="00F93E10" w:rsidP="00F93E10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F8F">
        <w:rPr>
          <w:rFonts w:ascii="Times New Roman" w:hAnsi="Times New Roman" w:cs="Times New Roman"/>
          <w:sz w:val="28"/>
          <w:szCs w:val="28"/>
        </w:rPr>
        <w:t>3</w:t>
      </w:r>
      <w:r w:rsidR="007E0F8F" w:rsidRPr="00C02E09">
        <w:rPr>
          <w:rFonts w:ascii="Times New Roman" w:hAnsi="Times New Roman" w:cs="Times New Roman"/>
          <w:sz w:val="28"/>
          <w:szCs w:val="28"/>
        </w:rPr>
        <w:t>. Призн</w:t>
      </w:r>
      <w:r w:rsidR="00812A59">
        <w:rPr>
          <w:rFonts w:ascii="Times New Roman" w:hAnsi="Times New Roman" w:cs="Times New Roman"/>
          <w:sz w:val="28"/>
          <w:szCs w:val="28"/>
        </w:rPr>
        <w:t>ать утратившим силу</w:t>
      </w:r>
      <w:r w:rsidR="007E0F8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0F8F" w:rsidRPr="0012617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E0F8F">
        <w:t xml:space="preserve"> </w:t>
      </w:r>
      <w:r w:rsidR="00B64AB4">
        <w:rPr>
          <w:rFonts w:ascii="Times New Roman" w:eastAsia="Tahoma" w:hAnsi="Times New Roman" w:cs="Times New Roman"/>
          <w:sz w:val="28"/>
          <w:szCs w:val="28"/>
        </w:rPr>
        <w:t>С</w:t>
      </w:r>
      <w:r w:rsidR="009B4D2B">
        <w:rPr>
          <w:rFonts w:ascii="Times New Roman" w:eastAsia="Tahoma" w:hAnsi="Times New Roman" w:cs="Times New Roman"/>
          <w:color w:val="3B2D36"/>
          <w:sz w:val="28"/>
          <w:szCs w:val="28"/>
        </w:rPr>
        <w:t>овета депутатов от 13</w:t>
      </w:r>
      <w:r w:rsidR="007E0F8F" w:rsidRPr="00126170">
        <w:rPr>
          <w:rFonts w:ascii="Times New Roman" w:eastAsia="Tahoma" w:hAnsi="Times New Roman" w:cs="Times New Roman"/>
          <w:color w:val="3B2D36"/>
          <w:sz w:val="28"/>
          <w:szCs w:val="28"/>
        </w:rPr>
        <w:t>.11.2015</w:t>
      </w:r>
      <w:r w:rsidR="007E0F8F">
        <w:rPr>
          <w:rFonts w:ascii="Times New Roman" w:eastAsia="Tahoma" w:hAnsi="Times New Roman" w:cs="Times New Roman"/>
          <w:color w:val="3B2D36"/>
          <w:sz w:val="28"/>
          <w:szCs w:val="28"/>
        </w:rPr>
        <w:t xml:space="preserve"> </w:t>
      </w:r>
      <w:r w:rsidR="009B4D2B">
        <w:rPr>
          <w:rFonts w:ascii="Times New Roman" w:eastAsia="Tahoma" w:hAnsi="Times New Roman" w:cs="Times New Roman"/>
          <w:color w:val="3B2D36"/>
          <w:sz w:val="28"/>
          <w:szCs w:val="28"/>
        </w:rPr>
        <w:t>года № 47</w:t>
      </w:r>
      <w:r w:rsidR="007E0F8F" w:rsidRPr="00126170">
        <w:rPr>
          <w:rFonts w:ascii="Times New Roman" w:eastAsia="Tahoma" w:hAnsi="Times New Roman" w:cs="Times New Roman"/>
          <w:color w:val="3B2D36"/>
          <w:sz w:val="28"/>
          <w:szCs w:val="28"/>
        </w:rPr>
        <w:t xml:space="preserve"> «Об установлении </w:t>
      </w:r>
      <w:r w:rsidR="007E0F8F" w:rsidRPr="001261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4D2B">
        <w:rPr>
          <w:rFonts w:ascii="Times New Roman" w:hAnsi="Times New Roman" w:cs="Times New Roman"/>
          <w:sz w:val="28"/>
          <w:szCs w:val="28"/>
        </w:rPr>
        <w:t>муниципального образования «Торковичское сельское поселение»</w:t>
      </w:r>
      <w:r w:rsidR="007E0F8F" w:rsidRPr="00126170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налога на имущество физических лиц»</w:t>
      </w:r>
    </w:p>
    <w:p w:rsidR="007E0F8F" w:rsidRPr="00C02E09" w:rsidRDefault="00F93E10" w:rsidP="00F93E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F8F">
        <w:rPr>
          <w:rFonts w:ascii="Times New Roman" w:hAnsi="Times New Roman" w:cs="Times New Roman"/>
          <w:sz w:val="28"/>
          <w:szCs w:val="28"/>
        </w:rPr>
        <w:t>4</w:t>
      </w:r>
      <w:r w:rsidR="007E0F8F" w:rsidRPr="00C02E0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7E0F8F" w:rsidRPr="00C02E09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2E0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7E0F8F" w:rsidRPr="00C02E09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F8F" w:rsidRDefault="007E0F8F" w:rsidP="007E0F8F">
      <w:pPr>
        <w:pStyle w:val="a5"/>
        <w:rPr>
          <w:szCs w:val="28"/>
        </w:rPr>
      </w:pPr>
      <w:r>
        <w:rPr>
          <w:szCs w:val="28"/>
        </w:rPr>
        <w:t>Глава Торковичского сельского поселения,</w:t>
      </w:r>
    </w:p>
    <w:p w:rsidR="007E0F8F" w:rsidRDefault="007E0F8F" w:rsidP="007E0F8F">
      <w:pPr>
        <w:pStyle w:val="a5"/>
        <w:rPr>
          <w:szCs w:val="28"/>
        </w:rPr>
      </w:pPr>
      <w:r>
        <w:rPr>
          <w:szCs w:val="28"/>
        </w:rPr>
        <w:t xml:space="preserve">исполняющий полномочия председателя </w:t>
      </w:r>
    </w:p>
    <w:p w:rsidR="007E0F8F" w:rsidRDefault="007E0F8F" w:rsidP="007E0F8F">
      <w:pPr>
        <w:pStyle w:val="a5"/>
        <w:rPr>
          <w:szCs w:val="28"/>
        </w:rPr>
      </w:pPr>
      <w:r>
        <w:rPr>
          <w:szCs w:val="28"/>
        </w:rPr>
        <w:t xml:space="preserve">Совета депутатов                                                Н.А.Грауль                                                                            </w:t>
      </w:r>
    </w:p>
    <w:p w:rsidR="007E0F8F" w:rsidRPr="00A0281D" w:rsidRDefault="007E0F8F" w:rsidP="007E0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6BB" w:rsidRPr="00841693" w:rsidRDefault="00EC06BB">
      <w:pPr>
        <w:pStyle w:val="Style7"/>
        <w:widowControl/>
        <w:spacing w:line="240" w:lineRule="exact"/>
        <w:rPr>
          <w:sz w:val="28"/>
          <w:szCs w:val="28"/>
        </w:rPr>
      </w:pPr>
    </w:p>
    <w:sectPr w:rsidR="00EC06BB" w:rsidRPr="00841693" w:rsidSect="007E0F8F">
      <w:type w:val="continuous"/>
      <w:pgSz w:w="11905" w:h="16837"/>
      <w:pgMar w:top="1088" w:right="1260" w:bottom="1440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B3" w:rsidRDefault="006448B3">
      <w:r>
        <w:separator/>
      </w:r>
    </w:p>
  </w:endnote>
  <w:endnote w:type="continuationSeparator" w:id="1">
    <w:p w:rsidR="006448B3" w:rsidRDefault="0064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B3" w:rsidRDefault="006448B3">
      <w:r>
        <w:separator/>
      </w:r>
    </w:p>
  </w:footnote>
  <w:footnote w:type="continuationSeparator" w:id="1">
    <w:p w:rsidR="006448B3" w:rsidRDefault="00644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0609A"/>
    <w:rsid w:val="000237B7"/>
    <w:rsid w:val="00041762"/>
    <w:rsid w:val="0005113F"/>
    <w:rsid w:val="000763BF"/>
    <w:rsid w:val="000A0B72"/>
    <w:rsid w:val="000F14C9"/>
    <w:rsid w:val="001A54AC"/>
    <w:rsid w:val="001B2C22"/>
    <w:rsid w:val="001F4EDC"/>
    <w:rsid w:val="001F58AD"/>
    <w:rsid w:val="00270B2A"/>
    <w:rsid w:val="00290CBA"/>
    <w:rsid w:val="00336B5B"/>
    <w:rsid w:val="00355405"/>
    <w:rsid w:val="003B4462"/>
    <w:rsid w:val="004114F3"/>
    <w:rsid w:val="004568A2"/>
    <w:rsid w:val="004B2C25"/>
    <w:rsid w:val="00533C0D"/>
    <w:rsid w:val="00554F32"/>
    <w:rsid w:val="00567EB1"/>
    <w:rsid w:val="00590B35"/>
    <w:rsid w:val="005B6EA9"/>
    <w:rsid w:val="005E7698"/>
    <w:rsid w:val="005F5C32"/>
    <w:rsid w:val="006448B3"/>
    <w:rsid w:val="00680D97"/>
    <w:rsid w:val="00687DDD"/>
    <w:rsid w:val="006A504A"/>
    <w:rsid w:val="006F76AD"/>
    <w:rsid w:val="00761224"/>
    <w:rsid w:val="00766827"/>
    <w:rsid w:val="00793A8C"/>
    <w:rsid w:val="007E0F8F"/>
    <w:rsid w:val="007E26AD"/>
    <w:rsid w:val="00812A59"/>
    <w:rsid w:val="00841693"/>
    <w:rsid w:val="009371E2"/>
    <w:rsid w:val="009B4D2B"/>
    <w:rsid w:val="009B6E64"/>
    <w:rsid w:val="009E0EE2"/>
    <w:rsid w:val="00A25448"/>
    <w:rsid w:val="00A41CA4"/>
    <w:rsid w:val="00B506B0"/>
    <w:rsid w:val="00B64AB4"/>
    <w:rsid w:val="00B76965"/>
    <w:rsid w:val="00B87FE9"/>
    <w:rsid w:val="00BC76E5"/>
    <w:rsid w:val="00C612E4"/>
    <w:rsid w:val="00CB4D89"/>
    <w:rsid w:val="00CE42E6"/>
    <w:rsid w:val="00D17F15"/>
    <w:rsid w:val="00D34266"/>
    <w:rsid w:val="00D64D20"/>
    <w:rsid w:val="00D67DFB"/>
    <w:rsid w:val="00D7127B"/>
    <w:rsid w:val="00D959C5"/>
    <w:rsid w:val="00D9669F"/>
    <w:rsid w:val="00DD2FC0"/>
    <w:rsid w:val="00E75A73"/>
    <w:rsid w:val="00EC06BB"/>
    <w:rsid w:val="00ED1003"/>
    <w:rsid w:val="00F04070"/>
    <w:rsid w:val="00F224FE"/>
    <w:rsid w:val="00F4014D"/>
    <w:rsid w:val="00F47AB1"/>
    <w:rsid w:val="00F742FC"/>
    <w:rsid w:val="00F9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4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3" Type="http://schemas.openxmlformats.org/officeDocument/2006/relationships/hyperlink" Target="consultantplus://offline/ref=0169FD2CE74E13BAA3A47EE4EF0F68F1D7452F71561BA2185CF8648BE35F4C3F68C05D92F156914CED16AFFE35M1e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69FD2CE74E13BAA3A47EE4EF0F68F1D74B2C745614A2185CF8648BE35F4C3F68C05D92F156914CED16AFFE35M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6</cp:revision>
  <cp:lastPrinted>2019-11-26T12:23:00Z</cp:lastPrinted>
  <dcterms:created xsi:type="dcterms:W3CDTF">2019-11-26T12:19:00Z</dcterms:created>
  <dcterms:modified xsi:type="dcterms:W3CDTF">2019-11-26T12:24:00Z</dcterms:modified>
</cp:coreProperties>
</file>