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2562305"/>
      <w:r w:rsidRPr="00766002">
        <w:rPr>
          <w:rFonts w:ascii="Times New Roman" w:eastAsia="Times New Roman" w:hAnsi="Times New Roman" w:cs="Times New Roman"/>
          <w:sz w:val="28"/>
          <w:szCs w:val="28"/>
        </w:rPr>
        <w:t>Приложение 1 к решению</w:t>
      </w:r>
    </w:p>
    <w:p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042E57">
        <w:rPr>
          <w:rFonts w:ascii="Times New Roman" w:eastAsia="Times New Roman" w:hAnsi="Times New Roman" w:cs="Times New Roman"/>
          <w:sz w:val="28"/>
          <w:szCs w:val="28"/>
        </w:rPr>
        <w:t>28 .11.2024г.</w:t>
      </w: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2E57">
        <w:rPr>
          <w:rFonts w:ascii="Times New Roman" w:eastAsia="Times New Roman" w:hAnsi="Times New Roman" w:cs="Times New Roman"/>
          <w:sz w:val="28"/>
          <w:szCs w:val="28"/>
        </w:rPr>
        <w:t>17</w:t>
      </w:r>
    </w:p>
    <w:bookmarkEnd w:id="0"/>
    <w:p w:rsidR="00766002" w:rsidRDefault="00766002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:rsidR="002A3614" w:rsidRPr="002A3614" w:rsidRDefault="002A3614" w:rsidP="002A3614">
      <w:pPr>
        <w:widowControl w:val="0"/>
        <w:spacing w:after="0" w:line="322" w:lineRule="exact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полномочий по осуществлению внешнего муниципального</w:t>
      </w:r>
    </w:p>
    <w:p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 контроля</w:t>
      </w:r>
    </w:p>
    <w:p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entury Gothic" w:hAnsi="Times New Roman" w:cs="Times New Roman"/>
          <w:b/>
          <w:bCs/>
          <w:sz w:val="28"/>
          <w:szCs w:val="28"/>
        </w:rPr>
        <w:t>___</w:t>
      </w:r>
    </w:p>
    <w:p w:rsidR="002A3614" w:rsidRPr="009D0F14" w:rsidRDefault="002A3614" w:rsidP="002A3614">
      <w:pPr>
        <w:widowControl w:val="0"/>
        <w:tabs>
          <w:tab w:val="left" w:pos="6720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>г. Луга                                                                             «__» _____________ 202_ года</w:t>
      </w:r>
    </w:p>
    <w:p w:rsidR="002A3614" w:rsidRPr="009D0F14" w:rsidRDefault="002A3614" w:rsidP="002A3614">
      <w:pPr>
        <w:widowControl w:val="0"/>
        <w:spacing w:after="240" w:line="322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(далее - представительный орган муниципального района) в лице главы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Иванова А.В., действующего на основании Устава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Контрольно- счетная палата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лице исполняющего обязанности председателя Тестов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Е.Л., действующего на основании Положения о контрольно-счетной палате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овет депутатов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- представительный орган поселения) в лице главы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</w:t>
      </w:r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далее именуемые «Стороны,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решений совета депутатов </w:t>
      </w:r>
      <w:proofErr w:type="spellStart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__________ № __ и совета депутатов _____________ поселения </w:t>
      </w:r>
      <w:proofErr w:type="gramStart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__________ №__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0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(далее – контрольно-счетный орган района) полномочий контрольно-счетного органа поселения (далее — контрольно-счетный орган поселения) по осуществлению внешнего муниципального финансового контроля и передача из бюджета </w:t>
      </w:r>
      <w:r w:rsidR="00BE7D5B" w:rsidRPr="009D0F1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(далее - поселение) в бюджет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межбюджетных трансфертов на осуществление переданных полномочий.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Контрольно-счетному органу района передаются полномочия контрольно-счетного органа поселения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установленные федеральными законами, законами Ленинградской области, уставом муниципального образования __________ поселения, решением совета депутатов </w:t>
      </w:r>
      <w:proofErr w:type="gramStart"/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 №___.</w:t>
      </w:r>
    </w:p>
    <w:p w:rsidR="002A3614" w:rsidRPr="009D0F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района.</w:t>
      </w:r>
    </w:p>
    <w:p w:rsidR="002A3614" w:rsidRPr="009D0F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1.4. Другие контрольные и экспертно-аналитические мероприятия включаются в план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 на основании предложений </w:t>
      </w:r>
      <w:r w:rsidR="00CB6D7F" w:rsidRPr="009D0F14">
        <w:rPr>
          <w:rFonts w:ascii="Times New Roman" w:eastAsia="Times New Roman" w:hAnsi="Times New Roman" w:cs="Times New Roman"/>
          <w:sz w:val="24"/>
          <w:szCs w:val="24"/>
        </w:rPr>
        <w:t>представительного органа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поселения, представляемых в сроки, установленные для формирования плана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района.</w:t>
      </w:r>
    </w:p>
    <w:p w:rsidR="002A3614" w:rsidRPr="009D0F14" w:rsidRDefault="002A3614" w:rsidP="00CB6D7F">
      <w:pPr>
        <w:widowControl w:val="0"/>
        <w:tabs>
          <w:tab w:val="left" w:pos="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>Количество указанных мероприятий определяется с учетом средств, переданных на исполнение полномочий.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Соглашения</w:t>
      </w:r>
      <w:bookmarkEnd w:id="1"/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заключено на </w:t>
      </w:r>
      <w:r w:rsidR="00E42D9B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 лет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действует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01 января 202</w:t>
      </w:r>
      <w:r w:rsidR="00E42D9B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31 декабря 202</w:t>
      </w:r>
      <w:r w:rsid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считается пролонгированным.</w:t>
      </w:r>
      <w:proofErr w:type="gramEnd"/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решением представительного органа поселения обюджете поселения не будут утверждены межбюджетные трансферты бюджетумуниципального района, предусмотренные настоящимСоглашением, действие Соглашения приостанавливается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начала финансового года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момента утверждения соответствующих межбюджетных трансфертов.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определения и предоставления ежегодного объема</w:t>
      </w:r>
      <w:bookmarkEnd w:id="2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межбюджетных трансфертов</w:t>
      </w:r>
    </w:p>
    <w:p w:rsidR="002A3614" w:rsidRPr="009D0F14" w:rsidRDefault="00F83667" w:rsidP="00CB6D7F">
      <w:pPr>
        <w:widowControl w:val="0"/>
        <w:numPr>
          <w:ilvl w:val="1"/>
          <w:numId w:val="6"/>
        </w:numPr>
        <w:tabs>
          <w:tab w:val="left" w:pos="0"/>
          <w:tab w:val="left" w:pos="1507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о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межбюджетных трансфертов на очередной год,предоставляемых из бюджета </w:t>
      </w:r>
      <w:r w:rsidR="00D21C4E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в бюджет </w:t>
      </w:r>
      <w:proofErr w:type="spellStart"/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Лужскогомуниципального</w:t>
      </w:r>
      <w:proofErr w:type="spellEnd"/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на осуществление полномочий, предусмотренных настоящим Соглашением,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приведен вп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риложени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настоящему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Соглашению.</w:t>
      </w:r>
    </w:p>
    <w:p w:rsidR="002A3614" w:rsidRPr="009D0F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Объем межбюджетных трансфертов на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составляет</w:t>
      </w:r>
      <w:proofErr w:type="gramStart"/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копеек.</w:t>
      </w:r>
    </w:p>
    <w:p w:rsidR="002A3614" w:rsidRPr="009D0F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Для проведения контрольно-счетным органом района дополнительных контрольных и экспертно-аналитических мероприятий, предусмотренных поручениями и предложениями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представительного органа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или предложениями Главы поселения, поступившими в контрольно-счетный орган района после утверждения им плана 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Ежегодный объем межбюджетных трансфертов перечисляется двумя частями в сроки до 1 февраля(не менее 1/2 годового объема межбюджетных трансфертов) и до 01 июля(оставшаяся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A3614" w:rsidRPr="009D0F14" w:rsidRDefault="002A3614" w:rsidP="00CB6D7F">
      <w:pPr>
        <w:widowControl w:val="0"/>
        <w:tabs>
          <w:tab w:val="left" w:pos="0"/>
          <w:tab w:val="left" w:pos="169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Межбюджетные трансферты зачисляются в бюджет муниципального района по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соответствующему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коду бюджетной классификации доходов.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3"/>
    </w:p>
    <w:p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 Представительный орган муниципального района:</w:t>
      </w:r>
    </w:p>
    <w:p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4.1.2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Контрольно-счетный орган района:</w:t>
      </w:r>
    </w:p>
    <w:p w:rsidR="002A3614" w:rsidRPr="009D0F14" w:rsidRDefault="002A3614" w:rsidP="00CB6D7F">
      <w:pPr>
        <w:widowControl w:val="0"/>
        <w:tabs>
          <w:tab w:val="left" w:pos="0"/>
          <w:tab w:val="left" w:pos="15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 в планы 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2A3614" w:rsidRPr="009D0F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2A3614" w:rsidRPr="009D0F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4.2.2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 предусмотренные планом 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4.2.3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бюджета поселения и использованием средств бюджета поселения;</w:t>
      </w:r>
    </w:p>
    <w:p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4.2.4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4.2.5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4.2.6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акты,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4.2.7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размещает информацию о проведенных мероприятиях на своем официальном сайте в сети «Интернет»;</w:t>
      </w:r>
    </w:p>
    <w:p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4.2.8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4.2.9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4.2.10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2A3614" w:rsidRPr="009D0F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4.2.11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использование сре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2A3614" w:rsidRPr="009D0F14" w:rsidRDefault="002A3614" w:rsidP="00CB6D7F">
      <w:pPr>
        <w:widowControl w:val="0"/>
        <w:tabs>
          <w:tab w:val="left" w:pos="0"/>
          <w:tab w:val="left" w:pos="162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4.2.12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4.2.13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трансфертов;</w:t>
      </w:r>
    </w:p>
    <w:p w:rsidR="002A3614" w:rsidRPr="009D0F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4.2.14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4.2.15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уведомив в письменной форме представительный орган поселения за 15 дней до приостановления полномочий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A3614" w:rsidRPr="009D0F14" w:rsidRDefault="002A3614" w:rsidP="00CB6D7F">
      <w:pPr>
        <w:widowControl w:val="0"/>
        <w:tabs>
          <w:tab w:val="left" w:pos="0"/>
          <w:tab w:val="left" w:pos="1309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 Представительный орган поселения:</w:t>
      </w:r>
    </w:p>
    <w:p w:rsidR="002A3614" w:rsidRPr="009D0F14" w:rsidRDefault="002A3614" w:rsidP="00CB6D7F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4.3.1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своевременное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их перечисление в бюджет муниципального района;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4.3.2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4.3.4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.обеспечивает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опубликов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ание (обнародование)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проведенных 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контрольных и экспертно-аналитических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мероприятиях в средствах массовой информации;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4.3.5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4.3.6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4.3.7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своих обязательств.</w:t>
      </w:r>
    </w:p>
    <w:p w:rsidR="002A3614" w:rsidRPr="009D0F14" w:rsidRDefault="002A3614" w:rsidP="00CB6D7F">
      <w:pPr>
        <w:widowControl w:val="0"/>
        <w:tabs>
          <w:tab w:val="left" w:pos="0"/>
          <w:tab w:val="left" w:pos="1307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Стороны имеют право принимать иные меры, необходимые для реализации настоящего Соглашения.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10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4"/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ненадлежаще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проведенные) мероприятия.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неперечисления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(неполного перечисления) в бюджетмуниципального района межбюджетных трансфертов по истечении 15 рабочих дней с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даты,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предусмотренной настоящим Соглашением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неперечисленной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суммы.</w:t>
      </w:r>
    </w:p>
    <w:p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21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сторон не наступает в случаях предусмотренногонастоящим Соглашение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98"/>
        </w:tabs>
        <w:spacing w:after="0" w:line="28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4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5"/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Настоящее Соглашение вступает в силу с момента его подписания всеми Сторонами.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A3614" w:rsidRPr="009D0F14" w:rsidRDefault="002A3614" w:rsidP="002A3614">
      <w:pPr>
        <w:widowControl w:val="0"/>
        <w:tabs>
          <w:tab w:val="left" w:pos="3674"/>
          <w:tab w:val="left" w:pos="615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5101"/>
      </w:tblGrid>
      <w:tr w:rsidR="000A5087" w:rsidRPr="009D0F14" w:rsidTr="00766002">
        <w:tc>
          <w:tcPr>
            <w:tcW w:w="5100" w:type="dxa"/>
          </w:tcPr>
          <w:p w:rsidR="000A5087" w:rsidRPr="009D0F14" w:rsidRDefault="000A5087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муниципальногорайона</w:t>
            </w:r>
            <w:proofErr w:type="spellEnd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002"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766002" w:rsidRPr="009D0F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02" w:rsidRPr="009D0F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87" w:rsidRPr="009D0F14" w:rsidRDefault="000A5087" w:rsidP="00766002">
            <w:pPr>
              <w:widowControl w:val="0"/>
              <w:tabs>
                <w:tab w:val="left" w:pos="1307"/>
              </w:tabs>
              <w:spacing w:after="18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 (</w:t>
            </w:r>
            <w:r w:rsidR="00184E53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          ___________________ 202_ год</w:t>
            </w:r>
          </w:p>
        </w:tc>
        <w:tc>
          <w:tcPr>
            <w:tcW w:w="5101" w:type="dxa"/>
          </w:tcPr>
          <w:p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____________ поселения</w:t>
            </w:r>
          </w:p>
          <w:p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87" w:rsidRPr="009D0F14" w:rsidRDefault="00766002" w:rsidP="00766002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 (______________) ___________________ 202_ год</w:t>
            </w:r>
          </w:p>
        </w:tc>
      </w:tr>
      <w:tr w:rsidR="000A5087" w:rsidRPr="009D0F14" w:rsidTr="00766002">
        <w:tc>
          <w:tcPr>
            <w:tcW w:w="5100" w:type="dxa"/>
          </w:tcPr>
          <w:p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66002" w:rsidRPr="009D0F14" w:rsidRDefault="00184E53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766002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редседател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766002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Контрольно-счетной</w:t>
            </w:r>
          </w:p>
          <w:p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палаты </w:t>
            </w:r>
            <w:proofErr w:type="spellStart"/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Лужского</w:t>
            </w:r>
            <w:proofErr w:type="spellEnd"/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  <w:p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 (</w:t>
            </w:r>
            <w:r w:rsidR="00184E53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E74F5C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 202_ год</w:t>
            </w:r>
          </w:p>
          <w:p w:rsidR="000A5087" w:rsidRPr="009D0F14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1" w:type="dxa"/>
          </w:tcPr>
          <w:p w:rsidR="000A5087" w:rsidRPr="009D0F14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614" w:rsidRPr="009D0F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r w:rsidR="00766002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соглашению</w:t>
      </w:r>
    </w:p>
    <w:p w:rsidR="002A3614" w:rsidRPr="009D0F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614" w:rsidRPr="009D0F14" w:rsidRDefault="00766002" w:rsidP="002A3614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асчет</w:t>
      </w:r>
      <w:r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объема</w:t>
      </w:r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766002" w:rsidRPr="009D0F14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_Hlk182561335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межбюджетных трансфертов</w:t>
      </w:r>
      <w:bookmarkEnd w:id="6"/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рассчитывается по формуле:</w:t>
      </w:r>
    </w:p>
    <w:p w:rsidR="00766002" w:rsidRPr="009D0F14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614" w:rsidRPr="009D0F14" w:rsidRDefault="002A3614" w:rsidP="00E74F5C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Н=(ФОТ + М) 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×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Д/100,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где:</w:t>
      </w:r>
    </w:p>
    <w:p w:rsidR="002A3614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766002" w:rsidRPr="009D0F14" w:rsidRDefault="00766002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74F5C" w:rsidRPr="009D0F14" w:rsidRDefault="002A3614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ФОТ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который рассчитывается по формуле:</w:t>
      </w:r>
    </w:p>
    <w:p w:rsidR="00E74F5C" w:rsidRPr="009D0F14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((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*</w:t>
      </w:r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* 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)*1,302,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</w:t>
      </w:r>
    </w:p>
    <w:p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:rsidR="002A3614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численность специалистов, 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исполняющих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переданны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полномочи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 расчету принимаются две должности работника, замещающего должность, не отнесенную к должностям муниципальной службы — инспектор)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F2F0D" w:rsidRPr="009D0F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614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ФОТ);</w:t>
      </w:r>
    </w:p>
    <w:p w:rsidR="00BF2F0D" w:rsidRPr="009D0F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74F5C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бюджета </w:t>
      </w:r>
      <w:r w:rsidR="00BF2F0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которая рассчитывается по 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формуле:</w:t>
      </w:r>
    </w:p>
    <w:p w:rsidR="00E74F5C" w:rsidRPr="009D0F14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 = 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proofErr w:type="spellStart"/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где</w:t>
      </w:r>
    </w:p>
    <w:p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объем собственных доходов i-го муниципального образования в отчетном году.</w:t>
      </w:r>
    </w:p>
    <w:p w:rsidR="002A3614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отчетном году.</w:t>
      </w:r>
    </w:p>
    <w:p w:rsidR="00E74F5C" w:rsidRPr="009D0F14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614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hAnsi="Times New Roman" w:cs="Times New Roman"/>
          <w:sz w:val="24"/>
          <w:szCs w:val="24"/>
        </w:rPr>
        <w:t>Расчет о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бъема межбюджетных трансфертов на _______ год:</w:t>
      </w: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___________________________________________________</w:t>
      </w: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      = ___________________________________________________</w:t>
      </w: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      = ____________________________________________________</w:t>
      </w: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    = </w:t>
      </w: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________ год составляет</w:t>
      </w: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_______ (_____________________________________) </w:t>
      </w:r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DC10F7" w:rsidRPr="009D0F1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E74F5C" w:rsidRPr="009D0F14" w:rsidRDefault="00E74F5C">
      <w:pPr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81066" w:rsidRPr="00E51D43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решению</w:t>
      </w:r>
    </w:p>
    <w:p w:rsidR="00281066" w:rsidRPr="00E51D43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от </w:t>
      </w:r>
      <w:r w:rsidR="00042E57" w:rsidRPr="00E51D43">
        <w:rPr>
          <w:rFonts w:ascii="Times New Roman" w:eastAsia="Times New Roman" w:hAnsi="Times New Roman" w:cs="Times New Roman"/>
          <w:sz w:val="24"/>
          <w:szCs w:val="24"/>
        </w:rPr>
        <w:t>28.11.2024г.  №17</w:t>
      </w:r>
    </w:p>
    <w:p w:rsidR="00281066" w:rsidRPr="00E51D43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066" w:rsidRPr="00E51D43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Методика расчета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281066" w:rsidRPr="00E51D43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из бюджета _________ поселения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на осуществление переданных полномочий по внешнему муниципальному финансовому контролю.</w:t>
      </w:r>
    </w:p>
    <w:p w:rsidR="00281066" w:rsidRPr="00E51D43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межбюджетных трансфертов осуществляется в рублях Российской Федерации</w:t>
      </w:r>
      <w:r w:rsidR="00DC10F7"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округлением до целого рубля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C10F7" w:rsidRPr="00E51D43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межбюджетных трансфертов рассчитывается по формуле:</w:t>
      </w:r>
    </w:p>
    <w:p w:rsidR="00DC10F7" w:rsidRPr="00E51D43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C10F7" w:rsidRPr="00E51D43" w:rsidRDefault="00DC10F7" w:rsidP="00DC10F7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= (ФОТ + М) × Д / 100,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где: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ФОТ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района, который рассчитывается по формуле:</w:t>
      </w:r>
    </w:p>
    <w:p w:rsidR="00DC10F7" w:rsidRPr="00E51D43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((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*</w:t>
      </w:r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*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)*1,302,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численность специалистов, исполняющих переданные полномочия (к расчету принимаются две должности специалиста, замещающего должность, не отнесенную к должностям муниципальной службы — инспектор);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ФОТ);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бюджета ______________ поселения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района, которая рассчитывается по формуле:</w:t>
      </w:r>
    </w:p>
    <w:p w:rsidR="00DC10F7" w:rsidRPr="00E51D43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 =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proofErr w:type="spellStart"/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где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объем собственных доходов i-го муниципального образования в отчетном году.</w:t>
      </w:r>
    </w:p>
    <w:p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отчетном году.</w:t>
      </w:r>
    </w:p>
    <w:p w:rsidR="00E74F5C" w:rsidRPr="00E51D43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4F5C" w:rsidRPr="00E51D43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95487"/>
    <w:multiLevelType w:val="multilevel"/>
    <w:tmpl w:val="2A461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333C7"/>
    <w:multiLevelType w:val="multilevel"/>
    <w:tmpl w:val="410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C4D3C"/>
    <w:rsid w:val="000066B0"/>
    <w:rsid w:val="000073CE"/>
    <w:rsid w:val="000368AF"/>
    <w:rsid w:val="00042E57"/>
    <w:rsid w:val="000A5087"/>
    <w:rsid w:val="000B2BE2"/>
    <w:rsid w:val="000C23A6"/>
    <w:rsid w:val="00140A55"/>
    <w:rsid w:val="00180271"/>
    <w:rsid w:val="00184E53"/>
    <w:rsid w:val="001A5510"/>
    <w:rsid w:val="001B7BF5"/>
    <w:rsid w:val="001C37CF"/>
    <w:rsid w:val="001D79A2"/>
    <w:rsid w:val="00210EA4"/>
    <w:rsid w:val="00281066"/>
    <w:rsid w:val="002A3614"/>
    <w:rsid w:val="002B2925"/>
    <w:rsid w:val="002C659B"/>
    <w:rsid w:val="002C7BAC"/>
    <w:rsid w:val="002D4A15"/>
    <w:rsid w:val="003224FE"/>
    <w:rsid w:val="003474A7"/>
    <w:rsid w:val="0037144D"/>
    <w:rsid w:val="00394945"/>
    <w:rsid w:val="003A6663"/>
    <w:rsid w:val="003E39B4"/>
    <w:rsid w:val="00423B27"/>
    <w:rsid w:val="00444C45"/>
    <w:rsid w:val="00447034"/>
    <w:rsid w:val="00447F3F"/>
    <w:rsid w:val="00452B62"/>
    <w:rsid w:val="00453ED1"/>
    <w:rsid w:val="004A5A5E"/>
    <w:rsid w:val="004F0E3C"/>
    <w:rsid w:val="005056AD"/>
    <w:rsid w:val="0054046C"/>
    <w:rsid w:val="00563E7B"/>
    <w:rsid w:val="0056757F"/>
    <w:rsid w:val="00577A86"/>
    <w:rsid w:val="005825DD"/>
    <w:rsid w:val="0058600F"/>
    <w:rsid w:val="00592A63"/>
    <w:rsid w:val="00600E69"/>
    <w:rsid w:val="006436CE"/>
    <w:rsid w:val="00684177"/>
    <w:rsid w:val="006B2BDA"/>
    <w:rsid w:val="006B7C59"/>
    <w:rsid w:val="006C33F7"/>
    <w:rsid w:val="006C57A9"/>
    <w:rsid w:val="00717695"/>
    <w:rsid w:val="00766002"/>
    <w:rsid w:val="007A37BE"/>
    <w:rsid w:val="007A46A2"/>
    <w:rsid w:val="007D35DE"/>
    <w:rsid w:val="007F75D4"/>
    <w:rsid w:val="00833189"/>
    <w:rsid w:val="008A7A26"/>
    <w:rsid w:val="00910D59"/>
    <w:rsid w:val="009444CB"/>
    <w:rsid w:val="00947ECB"/>
    <w:rsid w:val="0095780A"/>
    <w:rsid w:val="00985932"/>
    <w:rsid w:val="009C4D3C"/>
    <w:rsid w:val="009D0F14"/>
    <w:rsid w:val="00A63765"/>
    <w:rsid w:val="00AA06AD"/>
    <w:rsid w:val="00AC09A7"/>
    <w:rsid w:val="00AE2678"/>
    <w:rsid w:val="00B676FD"/>
    <w:rsid w:val="00B73C42"/>
    <w:rsid w:val="00BA75C6"/>
    <w:rsid w:val="00BB54B8"/>
    <w:rsid w:val="00BD0008"/>
    <w:rsid w:val="00BD745D"/>
    <w:rsid w:val="00BE7D5B"/>
    <w:rsid w:val="00BF0150"/>
    <w:rsid w:val="00BF1003"/>
    <w:rsid w:val="00BF1A84"/>
    <w:rsid w:val="00BF2F0D"/>
    <w:rsid w:val="00C11553"/>
    <w:rsid w:val="00C13CF2"/>
    <w:rsid w:val="00C240A6"/>
    <w:rsid w:val="00C2470F"/>
    <w:rsid w:val="00C83ADF"/>
    <w:rsid w:val="00C87CD5"/>
    <w:rsid w:val="00CB6D7F"/>
    <w:rsid w:val="00CC1E2A"/>
    <w:rsid w:val="00CD1332"/>
    <w:rsid w:val="00CD5BE1"/>
    <w:rsid w:val="00D21C4E"/>
    <w:rsid w:val="00D41F54"/>
    <w:rsid w:val="00D75EB8"/>
    <w:rsid w:val="00DB625B"/>
    <w:rsid w:val="00DC10F7"/>
    <w:rsid w:val="00E42D9B"/>
    <w:rsid w:val="00E51D43"/>
    <w:rsid w:val="00E74F5C"/>
    <w:rsid w:val="00E95D10"/>
    <w:rsid w:val="00E965BF"/>
    <w:rsid w:val="00EC2AAE"/>
    <w:rsid w:val="00F53F56"/>
    <w:rsid w:val="00F60392"/>
    <w:rsid w:val="00F632D4"/>
    <w:rsid w:val="00F7363F"/>
    <w:rsid w:val="00F83667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0B54-13AA-4418-9A24-152E7C37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Kevorkova</dc:creator>
  <cp:lastModifiedBy>Пользователь Windows</cp:lastModifiedBy>
  <cp:revision>2</cp:revision>
  <cp:lastPrinted>2024-12-11T10:30:00Z</cp:lastPrinted>
  <dcterms:created xsi:type="dcterms:W3CDTF">2024-12-11T12:25:00Z</dcterms:created>
  <dcterms:modified xsi:type="dcterms:W3CDTF">2024-12-11T12:25:00Z</dcterms:modified>
</cp:coreProperties>
</file>