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A3" w:rsidRPr="00DD45A3" w:rsidRDefault="00DD45A3" w:rsidP="00DD45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>
        <w:t>П</w:t>
      </w:r>
      <w:r w:rsidRPr="001D14C1">
        <w:t>ереч</w:t>
      </w:r>
      <w:r>
        <w:t>е</w:t>
      </w:r>
      <w:r w:rsidRPr="001D14C1">
        <w:t>н</w:t>
      </w:r>
      <w:r>
        <w:t>ь</w:t>
      </w:r>
    </w:p>
    <w:p w:rsidR="00DD45A3" w:rsidRDefault="00DD45A3" w:rsidP="00DD45A3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24"/>
          <w:szCs w:val="24"/>
        </w:rPr>
      </w:pPr>
      <w:proofErr w:type="gramStart"/>
      <w:r w:rsidRPr="001D14C1">
        <w:rPr>
          <w:sz w:val="24"/>
          <w:szCs w:val="24"/>
        </w:rPr>
        <w:t xml:space="preserve">муниципального имущества, находящегося в собственности муниципального образования </w:t>
      </w:r>
      <w:proofErr w:type="spellStart"/>
      <w:r w:rsidRPr="001D14C1">
        <w:rPr>
          <w:sz w:val="24"/>
          <w:szCs w:val="24"/>
        </w:rPr>
        <w:t>Лужский</w:t>
      </w:r>
      <w:proofErr w:type="spellEnd"/>
      <w:r w:rsidRPr="001D14C1">
        <w:rPr>
          <w:sz w:val="24"/>
          <w:szCs w:val="24"/>
        </w:rPr>
        <w:t xml:space="preserve"> муниципальный район Ленинградской области,  а также земельных участков, полномочия по распоряжению которыми относятся к компетенции администрации </w:t>
      </w:r>
      <w:proofErr w:type="spellStart"/>
      <w:r w:rsidRPr="001D14C1">
        <w:rPr>
          <w:sz w:val="24"/>
          <w:szCs w:val="24"/>
        </w:rPr>
        <w:t>Лужского</w:t>
      </w:r>
      <w:proofErr w:type="spellEnd"/>
      <w:r w:rsidRPr="001D14C1">
        <w:rPr>
          <w:sz w:val="24"/>
          <w:szCs w:val="24"/>
        </w:rPr>
        <w:t xml:space="preserve"> муниципального района 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 свободных от прав третьих лиц (за исключением права хозяйственного ведения, оперативного управления и имущественных прав субъектов малого и</w:t>
      </w:r>
      <w:proofErr w:type="gramEnd"/>
      <w:r w:rsidRPr="001D14C1">
        <w:rPr>
          <w:sz w:val="24"/>
          <w:szCs w:val="24"/>
        </w:rPr>
        <w:t xml:space="preserve"> среднего предпринимательства), предназначенных для предоставления во владение и (или) пользование (в том числе по льготным ставка арендной платы)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D45A3" w:rsidRDefault="00DD45A3" w:rsidP="00DD45A3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24"/>
          <w:szCs w:val="24"/>
        </w:rPr>
      </w:pPr>
    </w:p>
    <w:tbl>
      <w:tblPr>
        <w:tblW w:w="14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694"/>
        <w:gridCol w:w="2267"/>
        <w:gridCol w:w="992"/>
        <w:gridCol w:w="567"/>
        <w:gridCol w:w="1984"/>
        <w:gridCol w:w="1276"/>
        <w:gridCol w:w="709"/>
        <w:gridCol w:w="709"/>
        <w:gridCol w:w="708"/>
        <w:gridCol w:w="567"/>
        <w:gridCol w:w="709"/>
        <w:gridCol w:w="709"/>
        <w:gridCol w:w="709"/>
        <w:gridCol w:w="567"/>
        <w:gridCol w:w="708"/>
        <w:gridCol w:w="604"/>
      </w:tblGrid>
      <w:tr w:rsidR="00DD45A3" w:rsidRPr="001D14C1" w:rsidTr="00CA03D4">
        <w:trPr>
          <w:trHeight w:val="315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D14C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D14C1">
              <w:rPr>
                <w:sz w:val="18"/>
                <w:szCs w:val="18"/>
              </w:rPr>
              <w:t>/</w:t>
            </w:r>
            <w:proofErr w:type="spellStart"/>
            <w:r w:rsidRPr="001D14C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Но</w:t>
            </w:r>
          </w:p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 xml:space="preserve">мер в реестре </w:t>
            </w:r>
            <w:proofErr w:type="spellStart"/>
            <w:r w:rsidRPr="001D14C1">
              <w:rPr>
                <w:sz w:val="18"/>
                <w:szCs w:val="18"/>
              </w:rPr>
              <w:t>иму</w:t>
            </w:r>
            <w:proofErr w:type="spellEnd"/>
          </w:p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щест</w:t>
            </w:r>
            <w:proofErr w:type="spell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1D14C1">
              <w:rPr>
                <w:sz w:val="18"/>
                <w:szCs w:val="18"/>
              </w:rPr>
              <w:t>Адрес (место</w:t>
            </w:r>
            <w:r>
              <w:rPr>
                <w:sz w:val="18"/>
                <w:szCs w:val="18"/>
              </w:rPr>
              <w:t xml:space="preserve"> </w:t>
            </w:r>
            <w:r w:rsidRPr="001D14C1">
              <w:rPr>
                <w:sz w:val="18"/>
                <w:szCs w:val="18"/>
              </w:rPr>
              <w:t>положе</w:t>
            </w:r>
            <w:proofErr w:type="gram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D14C1">
              <w:rPr>
                <w:sz w:val="18"/>
                <w:szCs w:val="18"/>
              </w:rPr>
              <w:t>ние</w:t>
            </w:r>
            <w:proofErr w:type="spellEnd"/>
            <w:r w:rsidRPr="001D14C1">
              <w:rPr>
                <w:sz w:val="18"/>
                <w:szCs w:val="18"/>
              </w:rPr>
              <w:t>) объекта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Вид объекта недвижимости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6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Сведения о праве аренды или безвозмездного пользования имуществом</w:t>
            </w:r>
          </w:p>
        </w:tc>
      </w:tr>
      <w:tr w:rsidR="00DD45A3" w:rsidRPr="001D14C1" w:rsidTr="00CA03D4">
        <w:trPr>
          <w:trHeight w:val="315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Кадаст</w:t>
            </w:r>
            <w:proofErr w:type="spell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ровый</w:t>
            </w:r>
            <w:proofErr w:type="spellEnd"/>
            <w:r w:rsidRPr="001D14C1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 xml:space="preserve">Основная </w:t>
            </w:r>
            <w:proofErr w:type="spellStart"/>
            <w:r w:rsidRPr="001D14C1">
              <w:rPr>
                <w:sz w:val="18"/>
                <w:szCs w:val="18"/>
              </w:rPr>
              <w:t>характери</w:t>
            </w:r>
            <w:proofErr w:type="spell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стика</w:t>
            </w:r>
            <w:proofErr w:type="spellEnd"/>
            <w:r w:rsidRPr="001D14C1">
              <w:rPr>
                <w:sz w:val="18"/>
                <w:szCs w:val="18"/>
              </w:rPr>
              <w:t xml:space="preserve"> объекта недвижимости, кв.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Наимено</w:t>
            </w:r>
            <w:proofErr w:type="spell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вание</w:t>
            </w:r>
            <w:proofErr w:type="spellEnd"/>
            <w:r w:rsidRPr="001D14C1">
              <w:rPr>
                <w:sz w:val="18"/>
                <w:szCs w:val="18"/>
              </w:rPr>
              <w:t xml:space="preserve"> объекта учета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субъекта малого и среднего предпринимательства</w:t>
            </w:r>
          </w:p>
        </w:tc>
      </w:tr>
      <w:tr w:rsidR="00DD45A3" w:rsidRPr="001D14C1" w:rsidTr="00CA03D4">
        <w:trPr>
          <w:trHeight w:val="315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Документы-</w:t>
            </w:r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основани</w:t>
            </w:r>
            <w:r>
              <w:rPr>
                <w:sz w:val="18"/>
                <w:szCs w:val="18"/>
              </w:rPr>
              <w:t>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Правообладатель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Документы-основани</w:t>
            </w:r>
            <w:r>
              <w:rPr>
                <w:sz w:val="18"/>
                <w:szCs w:val="18"/>
              </w:rPr>
              <w:t>я</w:t>
            </w:r>
          </w:p>
        </w:tc>
      </w:tr>
      <w:tr w:rsidR="00DD45A3" w:rsidRPr="001D14C1" w:rsidTr="00CA03D4">
        <w:trPr>
          <w:trHeight w:val="1260"/>
          <w:jc w:val="center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ОГРН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ИНН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 xml:space="preserve">Дата заключения </w:t>
            </w:r>
            <w:proofErr w:type="spellStart"/>
            <w:r w:rsidRPr="001D14C1">
              <w:rPr>
                <w:sz w:val="18"/>
                <w:szCs w:val="18"/>
              </w:rPr>
              <w:t>дого</w:t>
            </w:r>
            <w:proofErr w:type="spell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 xml:space="preserve">Полное </w:t>
            </w:r>
            <w:proofErr w:type="spellStart"/>
            <w:r w:rsidRPr="001D14C1">
              <w:rPr>
                <w:sz w:val="18"/>
                <w:szCs w:val="18"/>
              </w:rPr>
              <w:t>наимено</w:t>
            </w:r>
            <w:proofErr w:type="spellEnd"/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1D14C1">
              <w:rPr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ОГРН/</w:t>
            </w:r>
          </w:p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ОГРНИП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Дата заключения договора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Дата окончания действия договора</w:t>
            </w:r>
          </w:p>
        </w:tc>
      </w:tr>
      <w:tr w:rsidR="00DD45A3" w:rsidRPr="001D14C1" w:rsidTr="00CA03D4">
        <w:trPr>
          <w:trHeight w:val="3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 w:rsidRPr="001D14C1">
              <w:rPr>
                <w:sz w:val="18"/>
                <w:szCs w:val="18"/>
              </w:rPr>
              <w:t>17</w:t>
            </w:r>
          </w:p>
        </w:tc>
      </w:tr>
      <w:tr w:rsidR="00DD45A3" w:rsidRPr="001D14C1" w:rsidTr="00CA03D4">
        <w:trPr>
          <w:trHeight w:val="3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00000019-184-91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Ленинградская</w:t>
            </w:r>
            <w:proofErr w:type="gramEnd"/>
            <w:r>
              <w:rPr>
                <w:sz w:val="18"/>
                <w:szCs w:val="18"/>
              </w:rPr>
              <w:t xml:space="preserve"> обл., </w:t>
            </w:r>
            <w:proofErr w:type="spellStart"/>
            <w:r>
              <w:rPr>
                <w:sz w:val="18"/>
                <w:szCs w:val="18"/>
              </w:rPr>
              <w:t>Лужский</w:t>
            </w:r>
            <w:proofErr w:type="spellEnd"/>
            <w:r>
              <w:rPr>
                <w:sz w:val="18"/>
                <w:szCs w:val="18"/>
              </w:rPr>
              <w:t xml:space="preserve"> район, п. Торковичи, ул. Стахановская, дом 1-а.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B82211">
            <w:pPr>
              <w:widowControl w:val="0"/>
              <w:autoSpaceDE w:val="0"/>
              <w:autoSpaceDN w:val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Одноэтажное здание бывшей котельной общей площадью 545 кв.м. расположено на территории бывшего стекольного завода.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DD45A3" w:rsidRPr="001D14C1" w:rsidTr="00CA03D4">
        <w:trPr>
          <w:trHeight w:val="3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000000019-375-91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B82211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Ленинградская обл., </w:t>
            </w:r>
            <w:proofErr w:type="spellStart"/>
            <w:r>
              <w:rPr>
                <w:sz w:val="18"/>
                <w:szCs w:val="18"/>
              </w:rPr>
              <w:t>Лужский</w:t>
            </w:r>
            <w:proofErr w:type="spellEnd"/>
            <w:r>
              <w:rPr>
                <w:sz w:val="18"/>
                <w:szCs w:val="18"/>
              </w:rPr>
              <w:t xml:space="preserve"> район, п. Торковичи, ул. Набережная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дом 2-а.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CA03D4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CA03D4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Одноэтажное здание бывшей бани общей площадью 274,7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CA03D4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бани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A3" w:rsidRPr="001D14C1" w:rsidRDefault="00DD45A3" w:rsidP="005D06B6">
            <w:pPr>
              <w:widowControl w:val="0"/>
              <w:autoSpaceDE w:val="0"/>
              <w:autoSpaceDN w:val="0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DD45A3" w:rsidRPr="001D14C1" w:rsidRDefault="00DD45A3" w:rsidP="00DD45A3">
      <w:pPr>
        <w:pStyle w:val="1"/>
        <w:shd w:val="clear" w:color="auto" w:fill="auto"/>
        <w:spacing w:after="0" w:line="240" w:lineRule="auto"/>
        <w:ind w:right="-2" w:firstLine="709"/>
        <w:contextualSpacing/>
        <w:jc w:val="center"/>
        <w:rPr>
          <w:sz w:val="24"/>
          <w:szCs w:val="24"/>
        </w:rPr>
      </w:pPr>
    </w:p>
    <w:p w:rsidR="00DD45A3" w:rsidRDefault="00DD45A3" w:rsidP="00DD45A3">
      <w:pPr>
        <w:rPr>
          <w:color w:val="000000"/>
        </w:rPr>
        <w:sectPr w:rsidR="00DD45A3" w:rsidSect="00DD45A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64F5D" w:rsidRDefault="00F64F5D" w:rsidP="003358A9"/>
    <w:sectPr w:rsidR="00F64F5D" w:rsidSect="00DD45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971B3C"/>
    <w:rsid w:val="00034D7D"/>
    <w:rsid w:val="001144ED"/>
    <w:rsid w:val="00155709"/>
    <w:rsid w:val="002A0B4C"/>
    <w:rsid w:val="003358A9"/>
    <w:rsid w:val="003C0A1D"/>
    <w:rsid w:val="00402A0C"/>
    <w:rsid w:val="004D6916"/>
    <w:rsid w:val="0052639A"/>
    <w:rsid w:val="00597219"/>
    <w:rsid w:val="005A23C3"/>
    <w:rsid w:val="00681E48"/>
    <w:rsid w:val="00822540"/>
    <w:rsid w:val="00896BD8"/>
    <w:rsid w:val="00932EAD"/>
    <w:rsid w:val="00971B3C"/>
    <w:rsid w:val="00A02721"/>
    <w:rsid w:val="00B82211"/>
    <w:rsid w:val="00B964BE"/>
    <w:rsid w:val="00CA03D4"/>
    <w:rsid w:val="00DD45A3"/>
    <w:rsid w:val="00F64F5D"/>
    <w:rsid w:val="00FE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1B3C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71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71B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1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B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1"/>
    <w:locked/>
    <w:rsid w:val="00402A0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402A0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Torkovichadm</dc:creator>
  <cp:lastModifiedBy>Redaktor</cp:lastModifiedBy>
  <cp:revision>2</cp:revision>
  <cp:lastPrinted>2019-03-19T06:52:00Z</cp:lastPrinted>
  <dcterms:created xsi:type="dcterms:W3CDTF">2019-03-19T11:54:00Z</dcterms:created>
  <dcterms:modified xsi:type="dcterms:W3CDTF">2019-03-19T11:54:00Z</dcterms:modified>
</cp:coreProperties>
</file>